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Staffordshire Moorlands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Staffordshire Moorlands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Staffordshire Moorlands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Staffordshire Moorlands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Staffordshire Moorlands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Staffordshire Moorlands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Staffordshire Moorlands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Staffordshire Moorlands is estimated to be </w:t>
      </w:r>
      <w:r w:rsidRPr="00773DF7">
        <w:rPr>
          <w:rFonts w:ascii="Libre Franklin Light" w:eastAsia="Times New Roman" w:hAnsi="Libre Franklin Light" w:cs="Calibri Light"/>
          <w:b/>
          <w:bCs/>
          <w:color w:val="C45911" w:themeColor="accent2" w:themeShade="BF"/>
        </w:rPr>
        <w:t xml:space="preserve">£795,405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Staffordshire Moorlands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Staffordshire Moorlands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Staffordshire Moorlands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Staffordshire Moorlands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affordshire Moorland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Staffordshire Moorlands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affordshire Moorland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Staffordshire Moorlands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Staffordshire Moorlands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affordshire Moorland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Staffordshire Moorlands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Staffordshire Moorlands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Staffordshire Moorlands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46.7%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Staffordshire Moorlands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Staffordshire Moorlands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Staffordshire Moorlands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£795,405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Staffordshire Moorlands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£12,956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£267,934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£19,194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£5,398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£9,897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£480,026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£795,405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Staffordshire Moorlands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Staffordshire Moorlands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Staffordshire Moorlands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Staffordshire Moorlands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Staffordshire Moorlands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Staffordshire Moorlands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Staffordshire Moorlands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Staffordshire Moorlands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Staffordshire Moorlands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Staffordshire Moorlands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Staffordshire Moorlands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Staffordshire Moorlands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02CC66D-86CE-42F4-8823-B19132FE908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